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bookmarkEnd w:id="0"/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Cambria"/>
          <w:bCs/>
          <w:sz w:val="32"/>
          <w:szCs w:val="32"/>
          <w:lang w:val="zh-TW"/>
        </w:rPr>
        <w:t>防统方软件采购项目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3525"/>
    <w:rsid w:val="5FF4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2021-12-07T09:21:00Z</dcterms:created>
  <dc:creator>Administrator</dc:creator>
  <cp:lastModifiedBy>Administrator</cp:lastModifiedBy>
  <dcterms:modified xsi:type="dcterms:W3CDTF">2021-12-07T09:21:29Z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