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ind w:firstLine="160" w:firstLineChars="5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附件2</w:t>
      </w:r>
    </w:p>
    <w:p>
      <w:pPr>
        <w:widowControl/>
        <w:spacing w:line="450" w:lineRule="atLeas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b/>
          <w:color w:val="000000"/>
          <w:kern w:val="0"/>
          <w:sz w:val="32"/>
          <w:szCs w:val="32"/>
        </w:rPr>
        <w:t>广元市妇幼保健院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网络安全渗透性测试和攻防应急演练服务</w:t>
      </w:r>
      <w:r>
        <w:rPr>
          <w:rFonts w:hint="eastAsia" w:ascii="仿宋_GB2312" w:hAnsi="微软雅黑" w:eastAsia="仿宋_GB2312"/>
          <w:b/>
          <w:bCs/>
          <w:color w:val="000000"/>
          <w:sz w:val="32"/>
          <w:szCs w:val="32"/>
          <w:shd w:val="clear" w:color="auto" w:fill="FFFFFF"/>
        </w:rPr>
        <w:t>项目</w:t>
      </w:r>
      <w:r>
        <w:rPr>
          <w:rFonts w:hint="eastAsia" w:ascii="仿宋_GB2312" w:hAnsi="方正小标宋简体" w:eastAsia="仿宋_GB2312" w:cs="方正小标宋简体"/>
          <w:b/>
          <w:color w:val="000000"/>
          <w:kern w:val="0"/>
          <w:sz w:val="32"/>
          <w:szCs w:val="32"/>
        </w:rPr>
        <w:t>市场询价清单</w:t>
      </w:r>
    </w:p>
    <w:p>
      <w:pPr>
        <w:spacing w:line="360" w:lineRule="auto"/>
        <w:ind w:firstLine="275" w:firstLineChars="98"/>
        <w:jc w:val="left"/>
        <w:rPr>
          <w:rFonts w:hint="eastAsia" w:ascii="仿宋_GB2312" w:hAnsi="仿宋" w:eastAsia="仿宋_GB2312" w:cs="宋体"/>
          <w:b/>
          <w:bCs/>
          <w:sz w:val="28"/>
          <w:szCs w:val="28"/>
          <w:lang w:val="zh-TW"/>
        </w:rPr>
      </w:pPr>
      <w:r>
        <w:rPr>
          <w:rFonts w:hint="eastAsia" w:ascii="仿宋_GB2312" w:hAnsi="仿宋" w:eastAsia="仿宋_GB2312" w:cs="宋体"/>
          <w:b/>
          <w:bCs/>
          <w:sz w:val="28"/>
          <w:szCs w:val="28"/>
          <w:lang w:val="zh-TW" w:eastAsia="zh-TW"/>
        </w:rPr>
        <w:t>项目清单及</w:t>
      </w:r>
      <w:r>
        <w:rPr>
          <w:rFonts w:hint="eastAsia" w:ascii="仿宋_GB2312" w:hAnsi="仿宋" w:eastAsia="仿宋_GB2312" w:cs="宋体"/>
          <w:b/>
          <w:bCs/>
          <w:sz w:val="28"/>
          <w:szCs w:val="28"/>
          <w:lang w:val="zh-TW"/>
        </w:rPr>
        <w:t>技术参数</w:t>
      </w:r>
      <w:r>
        <w:rPr>
          <w:rFonts w:hint="eastAsia" w:ascii="仿宋_GB2312" w:hAnsi="仿宋" w:eastAsia="仿宋_GB2312" w:cs="宋体"/>
          <w:b/>
          <w:bCs/>
          <w:sz w:val="28"/>
          <w:szCs w:val="28"/>
          <w:lang w:val="zh-TW" w:eastAsia="zh-TW"/>
        </w:rPr>
        <w:t>要求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162"/>
        <w:gridCol w:w="6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风险评估及渗透测试</w:t>
            </w:r>
          </w:p>
        </w:tc>
        <w:tc>
          <w:tcPr>
            <w:tcW w:w="68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资产识别</w:t>
            </w:r>
          </w:p>
        </w:tc>
        <w:tc>
          <w:tcPr>
            <w:tcW w:w="3685" w:type="pct"/>
            <w:noWrap w:val="0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依据相关国家标准或国际标准，对招标方的资产进行全面梳理和识别，识别内容包含但不限于资产类型、IP地址、责任人、用途、操作系统、数据库等。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 xml:space="preserve">资产类别应按照相关规范分类，包含但不限于以下几大类： </w:t>
            </w:r>
          </w:p>
          <w:p>
            <w:pPr>
              <w:pStyle w:val="4"/>
              <w:widowControl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业务应用—业务系统，如OA系统、门户网站等；</w:t>
            </w:r>
          </w:p>
          <w:p>
            <w:pPr>
              <w:pStyle w:val="4"/>
              <w:widowControl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网络结构—网络拓扑结构图；</w:t>
            </w:r>
          </w:p>
          <w:p>
            <w:pPr>
              <w:pStyle w:val="4"/>
              <w:widowControl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数据文档—设计方案、操作手册、业务数据等；</w:t>
            </w:r>
          </w:p>
          <w:p>
            <w:pPr>
              <w:pStyle w:val="4"/>
              <w:widowControl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软硬件资产—操作系统、中间件、数据库、网络设备、安全设备、存储设备等；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依据相关规范，投标方应根据资产识别结果，科学、合理的对资产进行重要性赋值，明确资产价值。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投标方应针对资产识别情况及问题及时汇报。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8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脆弱性识别</w:t>
            </w:r>
          </w:p>
        </w:tc>
        <w:tc>
          <w:tcPr>
            <w:tcW w:w="3685" w:type="pct"/>
            <w:noWrap w:val="0"/>
            <w:vAlign w:val="center"/>
          </w:tcPr>
          <w:p>
            <w:pPr>
              <w:pStyle w:val="4"/>
              <w:widowControl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依据相关国家标准或国际标准，通过专业的漏洞扫描工具或平台，针对互联网的网站、网络设备、业务应用系统、中间件、操作系统、网络安全设备等IT资产进行脆弱性扫描评估，漏洞扫描结果通过人工复核确认，出具整体系统漏洞扫描报告及修复建议。</w:t>
            </w:r>
          </w:p>
          <w:p>
            <w:pPr>
              <w:pStyle w:val="4"/>
              <w:widowControl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脆弱性分类应至少包括但不限于以下两类：</w:t>
            </w:r>
          </w:p>
          <w:p>
            <w:pPr>
              <w:pStyle w:val="4"/>
              <w:widowControl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技术性弱点—系统、程序、设备存在的漏洞或缺陷，如网络结构设计问题和代码漏洞；</w:t>
            </w:r>
          </w:p>
          <w:p>
            <w:pPr>
              <w:pStyle w:val="4"/>
              <w:widowControl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操作性弱点—软件和系统配置、操作中存在的缺陷，包括人员在日常工作中的不良习惯，审计和备份的缺乏；</w:t>
            </w:r>
          </w:p>
          <w:p>
            <w:pPr>
              <w:pStyle w:val="4"/>
              <w:widowControl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 xml:space="preserve">技术性弱点识别应按照以下要求实施： </w:t>
            </w:r>
          </w:p>
          <w:p>
            <w:pPr>
              <w:widowControl/>
              <w:adjustRightInd w:val="0"/>
              <w:snapToGrid w:val="0"/>
              <w:ind w:firstLine="420" w:firstLineChars="200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技术性弱点识别流程：</w:t>
            </w:r>
          </w:p>
          <w:p>
            <w:pPr>
              <w:pStyle w:val="4"/>
              <w:widowControl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投标方应对技术性弱点识别的目标对象进行全面梳理和识别，识别内容包含但不限于资产类型、IP地址、责任人、用途、操作系统、数据库等。</w:t>
            </w:r>
          </w:p>
          <w:p>
            <w:pPr>
              <w:pStyle w:val="4"/>
              <w:widowControl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投标方应提交技术性弱点识别工具的情况（包括但不限于：设备厂商、设备型号、漏洞库、销售许可证等）、技术性弱点识别工作方案（包括但不限于：目标对象、扫描时间、风险规避措施等）及技术性弱点识别申请，招标方授权后，方可进行。</w:t>
            </w:r>
          </w:p>
          <w:p>
            <w:pPr>
              <w:pStyle w:val="4"/>
              <w:widowControl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投标方应对技术性弱点识别结果进行人工验证，保证技术性弱点识别结果的真实性。</w:t>
            </w:r>
          </w:p>
          <w:p>
            <w:pPr>
              <w:pStyle w:val="4"/>
              <w:widowControl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投标方应提交针对性的解决方案，保证漏洞修复可落地。</w:t>
            </w:r>
          </w:p>
          <w:p>
            <w:pPr>
              <w:widowControl/>
              <w:adjustRightInd w:val="0"/>
              <w:snapToGrid w:val="0"/>
              <w:ind w:firstLine="420" w:firstLineChars="200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技术性弱点识别工具支持对象应包含但不限于：</w:t>
            </w:r>
          </w:p>
          <w:p>
            <w:pPr>
              <w:pStyle w:val="4"/>
              <w:widowControl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网络设备：路由器、交换机、防火墙等；</w:t>
            </w:r>
          </w:p>
          <w:p>
            <w:pPr>
              <w:pStyle w:val="4"/>
              <w:widowControl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操作系统：windows、linux、UNIX等；</w:t>
            </w:r>
          </w:p>
          <w:p>
            <w:pPr>
              <w:pStyle w:val="4"/>
              <w:widowControl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数据库：Oracle、MS SQL、Mysql等；</w:t>
            </w:r>
          </w:p>
          <w:p>
            <w:pPr>
              <w:pStyle w:val="4"/>
              <w:widowControl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中间件：Apache、Tomcat、weblogic等。</w:t>
            </w:r>
          </w:p>
          <w:p>
            <w:pPr>
              <w:widowControl/>
              <w:adjustRightInd w:val="0"/>
              <w:snapToGrid w:val="0"/>
              <w:ind w:firstLine="420" w:firstLineChars="200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技术性弱点识别参数应包含但不限于：版本漏洞、开放端口、开放服务、空/弱口令账户、安全配置等。</w:t>
            </w:r>
          </w:p>
          <w:p>
            <w:pPr>
              <w:pStyle w:val="4"/>
              <w:widowControl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操作性弱点识别应按照以下要求实施：</w:t>
            </w:r>
          </w:p>
          <w:p>
            <w:pPr>
              <w:widowControl/>
              <w:adjustRightInd w:val="0"/>
              <w:snapToGrid w:val="0"/>
              <w:ind w:firstLine="489" w:firstLineChars="233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操作性弱点识别流程：</w:t>
            </w:r>
          </w:p>
          <w:p>
            <w:pPr>
              <w:pStyle w:val="4"/>
              <w:widowControl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投标方应对操作性弱点识别的资产进行全面梳理和识别，识别内容包含但不限于资产类型、IP地址、责任人、用途、操作系统、数据库等。</w:t>
            </w:r>
          </w:p>
          <w:p>
            <w:pPr>
              <w:pStyle w:val="4"/>
              <w:widowControl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投标方应提交基线核查的标准，会同招标方各接口人进行沟通确认。</w:t>
            </w:r>
          </w:p>
          <w:p>
            <w:pPr>
              <w:pStyle w:val="4"/>
              <w:widowControl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依据相关标准或规范，投标方应结合招标方制定的基线核查标准、上级单位的基线核查标准、行业基线核查标准及行业最佳实践等，目标对象进行操作性弱点识别，目标对象包括但不限于：网络设备、操作系统、数据库及中间件等。</w:t>
            </w:r>
          </w:p>
          <w:p>
            <w:pPr>
              <w:pStyle w:val="4"/>
              <w:widowControl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投标方应组织相关人员对结果进行确认后，分析提交科学、合理的整改建议。</w:t>
            </w:r>
          </w:p>
          <w:p>
            <w:pPr>
              <w:widowControl/>
              <w:adjustRightInd w:val="0"/>
              <w:snapToGrid w:val="0"/>
              <w:ind w:left="360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操作性弱点识别应包含但不限于以下内容：</w:t>
            </w:r>
          </w:p>
          <w:p>
            <w:pPr>
              <w:pStyle w:val="4"/>
              <w:widowControl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网络设备： OS安全、帐号和口令管理、认证和授权策略、网络与服务、访问控制策略、通讯协议、路由协议、日志审核策略、加密管理、设备其他安全配置等；</w:t>
            </w:r>
          </w:p>
          <w:p>
            <w:pPr>
              <w:pStyle w:val="4"/>
              <w:widowControl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操作系统：系统漏洞补丁管理、帐号和口令管理、认证、授权策略、网络与服务、进程和启动、文件系统权限、访问控制、通讯协议、日志审核功能、剩余信息保护、其他安全配置等；</w:t>
            </w:r>
          </w:p>
          <w:p>
            <w:pPr>
              <w:pStyle w:val="4"/>
              <w:widowControl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数据库：漏洞补丁管理、帐号和口令管理、认证、授权策略、访问控制、通讯协议、日志审核功能、其他安全配置等；</w:t>
            </w:r>
          </w:p>
          <w:p>
            <w:pPr>
              <w:pStyle w:val="4"/>
              <w:widowControl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中间件：漏洞补丁管理、帐号和口令管理、认证、授权策略、通讯协议、日志审核功能、其他安全配置等。</w:t>
            </w:r>
          </w:p>
          <w:p>
            <w:pPr>
              <w:pStyle w:val="4"/>
              <w:widowControl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投标方应将发现的脆弱性及时向招标方反馈，并在后续提出可落地的整改建议或方案。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8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威胁识别</w:t>
            </w:r>
          </w:p>
        </w:tc>
        <w:tc>
          <w:tcPr>
            <w:tcW w:w="3685" w:type="pct"/>
            <w:noWrap w:val="0"/>
            <w:vAlign w:val="center"/>
          </w:tcPr>
          <w:p>
            <w:pPr>
              <w:pStyle w:val="4"/>
              <w:widowControl/>
              <w:numPr>
                <w:ilvl w:val="0"/>
                <w:numId w:val="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依据相关国家标准或国际标准，对存在脆弱性的资产进行威胁的全面识别，及时发现潜在威胁的原因，避免或降低威胁发生的几率。</w:t>
            </w:r>
          </w:p>
          <w:p>
            <w:pPr>
              <w:pStyle w:val="4"/>
              <w:widowControl/>
              <w:numPr>
                <w:ilvl w:val="0"/>
                <w:numId w:val="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威胁来源应至少包括但不限于以下四类：</w:t>
            </w:r>
          </w:p>
          <w:p>
            <w:pPr>
              <w:pStyle w:val="4"/>
              <w:widowControl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人员威胁——包括故意破坏和无意失误；</w:t>
            </w:r>
          </w:p>
          <w:p>
            <w:pPr>
              <w:pStyle w:val="4"/>
              <w:widowControl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系统威胁——系统、网络或服务的故障；</w:t>
            </w:r>
          </w:p>
          <w:p>
            <w:pPr>
              <w:pStyle w:val="4"/>
              <w:widowControl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环境威胁——电源故障、污染、液体泄漏、火灾等；</w:t>
            </w:r>
          </w:p>
          <w:p>
            <w:pPr>
              <w:pStyle w:val="4"/>
              <w:widowControl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自然威胁——洪水、地震、台风、滑坡、雷电等。</w:t>
            </w:r>
          </w:p>
          <w:p>
            <w:pPr>
              <w:pStyle w:val="4"/>
              <w:widowControl/>
              <w:numPr>
                <w:ilvl w:val="0"/>
                <w:numId w:val="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威胁可以通过威胁主体、资源、动机、途径等多种属性来描述。造成威胁的因素可分为人为因素和环境因素。根据威胁的动机，人为因素又可分为恶意和非恶意两种。环境因素包括自然界不可抗的因素和其它物理因素。威胁作用形式可以是对信息系统直接或间接的攻击，在保密性、完整性和可用性等方面造成损害：也可能是偶发的、或蓄意的事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8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人工渗透测试</w:t>
            </w:r>
          </w:p>
        </w:tc>
        <w:tc>
          <w:tcPr>
            <w:tcW w:w="3685" w:type="pct"/>
            <w:noWrap w:val="0"/>
            <w:vAlign w:val="center"/>
          </w:tcPr>
          <w:p>
            <w:pPr>
              <w:pStyle w:val="4"/>
              <w:widowControl/>
              <w:numPr>
                <w:ilvl w:val="0"/>
                <w:numId w:val="5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针对服务范围内的目标信息系统，进行专业人工渗透测试，内容包括：</w:t>
            </w:r>
          </w:p>
          <w:p>
            <w:pPr>
              <w:pStyle w:val="4"/>
              <w:widowControl/>
              <w:adjustRightInd w:val="0"/>
              <w:snapToGrid w:val="0"/>
              <w:ind w:left="360" w:firstLine="0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SQL注入检测：检测网站是否存在SQL注入漏洞；</w:t>
            </w:r>
          </w:p>
          <w:p>
            <w:pPr>
              <w:pStyle w:val="4"/>
              <w:widowControl/>
              <w:adjustRightInd w:val="0"/>
              <w:snapToGrid w:val="0"/>
              <w:ind w:left="360" w:firstLine="0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XSS跨站脚本检测：检测网站是否存在XSS跨站脚本漏洞；</w:t>
            </w:r>
          </w:p>
          <w:p>
            <w:pPr>
              <w:pStyle w:val="4"/>
              <w:widowControl/>
              <w:adjustRightInd w:val="0"/>
              <w:snapToGrid w:val="0"/>
              <w:ind w:left="360" w:firstLine="0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缓冲区溢出检测：检测网站服务器和服务器软件，是否存在缓冲区溢出漏洞；</w:t>
            </w:r>
          </w:p>
          <w:p>
            <w:pPr>
              <w:pStyle w:val="4"/>
              <w:widowControl/>
              <w:adjustRightInd w:val="0"/>
              <w:snapToGrid w:val="0"/>
              <w:ind w:left="360" w:firstLine="0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上传漏洞检测：检测网站的上传功能是否存在上传漏洞；</w:t>
            </w:r>
          </w:p>
          <w:p>
            <w:pPr>
              <w:pStyle w:val="4"/>
              <w:widowControl/>
              <w:adjustRightInd w:val="0"/>
              <w:snapToGrid w:val="0"/>
              <w:ind w:left="360" w:firstLine="0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源代码泄露检测：检测网络是否存在源代码泄露漏洞；</w:t>
            </w:r>
          </w:p>
          <w:p>
            <w:pPr>
              <w:pStyle w:val="4"/>
              <w:widowControl/>
              <w:adjustRightInd w:val="0"/>
              <w:snapToGrid w:val="0"/>
              <w:ind w:left="360" w:firstLine="0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隐藏目录泄露检测：检测网站的某些隐藏目录是否存在泄露漏洞；</w:t>
            </w:r>
          </w:p>
          <w:p>
            <w:pPr>
              <w:pStyle w:val="4"/>
              <w:widowControl/>
              <w:adjustRightInd w:val="0"/>
              <w:snapToGrid w:val="0"/>
              <w:ind w:left="360" w:firstLine="0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数据库泄露检测：检测网站是否在数据库泄露的漏洞；</w:t>
            </w:r>
          </w:p>
          <w:p>
            <w:pPr>
              <w:pStyle w:val="4"/>
              <w:widowControl/>
              <w:adjustRightInd w:val="0"/>
              <w:snapToGrid w:val="0"/>
              <w:ind w:left="360" w:firstLine="0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弱口令检测：检测网站的后台管理用户，以及前台用户，是否存在使用弱口令的情况；</w:t>
            </w:r>
          </w:p>
          <w:p>
            <w:pPr>
              <w:pStyle w:val="4"/>
              <w:widowControl/>
              <w:adjustRightInd w:val="0"/>
              <w:snapToGrid w:val="0"/>
              <w:ind w:left="360" w:firstLine="0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管理地址泄露检测：检测网站是否存在管理地址泄露功能。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633" w:type="pct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8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风险分析</w:t>
            </w:r>
          </w:p>
        </w:tc>
        <w:tc>
          <w:tcPr>
            <w:tcW w:w="3685" w:type="pct"/>
            <w:noWrap w:val="0"/>
            <w:vAlign w:val="center"/>
          </w:tcPr>
          <w:p>
            <w:pPr>
              <w:pStyle w:val="4"/>
              <w:widowControl/>
              <w:numPr>
                <w:ilvl w:val="0"/>
                <w:numId w:val="6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依据相关国家标准或国际标准，对招标方已部署的安全设备、已制定管理体系及其他控制措施进行识别。</w:t>
            </w:r>
          </w:p>
          <w:p>
            <w:pPr>
              <w:pStyle w:val="4"/>
              <w:widowControl/>
              <w:numPr>
                <w:ilvl w:val="0"/>
                <w:numId w:val="6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根据识别结果的现状，提出建设性意见，避免重复采购相关设备或服务。</w:t>
            </w:r>
          </w:p>
          <w:p>
            <w:pPr>
              <w:pStyle w:val="4"/>
              <w:widowControl/>
              <w:numPr>
                <w:ilvl w:val="0"/>
                <w:numId w:val="6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投标方应组织专家团队，对存在和潜在的风险进行全面分析，保证风险分析的科学性、合理性及风险处置的可操作性。</w:t>
            </w:r>
          </w:p>
          <w:p>
            <w:pPr>
              <w:pStyle w:val="4"/>
              <w:widowControl/>
              <w:numPr>
                <w:ilvl w:val="0"/>
                <w:numId w:val="6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投标方应在风险分析完成后，组织召开相关会议，将风险评估实施过程全生命周期发现的情况或问题统一反馈，并提出可落地的建议或方案。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633" w:type="pct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8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服务交付文档</w:t>
            </w:r>
          </w:p>
        </w:tc>
        <w:tc>
          <w:tcPr>
            <w:tcW w:w="3685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《资产评估报告》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《脆弱性评估报告》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《威胁评估报告》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《渗透测试报告》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《风险分析报告》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《安全风险分析综合报告》</w:t>
            </w:r>
          </w:p>
        </w:tc>
      </w:tr>
    </w:tbl>
    <w:p>
      <w:pPr>
        <w:widowControl/>
        <w:rPr>
          <w:rFonts w:hint="eastAsia" w:ascii="仿宋_GB2312" w:hAnsi="_9ed1_4f53" w:eastAsia="仿宋_GB2312" w:cs="宋体"/>
          <w:color w:val="000000"/>
          <w:kern w:val="0"/>
          <w:szCs w:val="21"/>
        </w:rPr>
      </w:pP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162"/>
        <w:gridCol w:w="6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633" w:type="pct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攻防演练</w:t>
            </w:r>
          </w:p>
        </w:tc>
        <w:tc>
          <w:tcPr>
            <w:tcW w:w="682" w:type="pct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服务内容</w:t>
            </w:r>
          </w:p>
        </w:tc>
        <w:tc>
          <w:tcPr>
            <w:tcW w:w="3685" w:type="pct"/>
            <w:shd w:val="clear" w:color="auto" w:fill="auto"/>
            <w:noWrap w:val="0"/>
            <w:vAlign w:val="center"/>
          </w:tcPr>
          <w:p>
            <w:pPr>
              <w:pStyle w:val="4"/>
              <w:widowControl/>
              <w:numPr>
                <w:ilvl w:val="0"/>
                <w:numId w:val="7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攻防演练应按照以下要求实施：</w:t>
            </w:r>
          </w:p>
          <w:p>
            <w:pPr>
              <w:pStyle w:val="4"/>
              <w:widowControl/>
              <w:numPr>
                <w:ilvl w:val="0"/>
                <w:numId w:val="8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投标方应确定目标对象后提供攻防演练服务方案和服务申请，内容必须包括但不限于：</w:t>
            </w:r>
          </w:p>
          <w:p>
            <w:pPr>
              <w:pStyle w:val="4"/>
              <w:widowControl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攻防演练方法和流程；</w:t>
            </w:r>
          </w:p>
          <w:p>
            <w:pPr>
              <w:pStyle w:val="4"/>
              <w:widowControl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攻防演练工具；</w:t>
            </w:r>
          </w:p>
          <w:p>
            <w:pPr>
              <w:pStyle w:val="4"/>
              <w:widowControl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攻防演练面临的风险和规避措施；</w:t>
            </w:r>
          </w:p>
          <w:p>
            <w:pPr>
              <w:pStyle w:val="4"/>
              <w:widowControl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攻防演练时间和地点；</w:t>
            </w:r>
          </w:p>
          <w:p>
            <w:pPr>
              <w:pStyle w:val="4"/>
              <w:widowControl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攻防演练人员（资质、经验等其他证明）。</w:t>
            </w:r>
          </w:p>
          <w:p>
            <w:pPr>
              <w:pStyle w:val="4"/>
              <w:widowControl/>
              <w:numPr>
                <w:ilvl w:val="0"/>
                <w:numId w:val="7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安全意识培训</w:t>
            </w:r>
          </w:p>
          <w:p>
            <w:pPr>
              <w:pStyle w:val="4"/>
              <w:widowControl/>
              <w:adjustRightInd w:val="0"/>
              <w:snapToGrid w:val="0"/>
              <w:ind w:left="360" w:firstLine="440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安全意识培训为针对的是最一般性的工作所需，目的是提高整个组织普遍的安全意识和人员安全防护能力，使信息口人员充分了解既定的安全策略。培训中强调分析典型案例、记取经验教训、培养安全习惯、提升整体的安全认知水平。供应商在攻防演练结束后，针对各医院在演练中暴露出的网络信息安全问题，对相关医院进行统一的安全培训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通过网络攻防演练，检验各单位网络安全应急预案制定和实施情况，进一步促进各单位完善自身应急预案。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633" w:type="pct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82" w:type="pct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服务交付物</w:t>
            </w:r>
          </w:p>
        </w:tc>
        <w:tc>
          <w:tcPr>
            <w:tcW w:w="3685" w:type="pct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《攻防演练报告》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《安全意识培训》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_9ed1_4f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150F3"/>
    <w:multiLevelType w:val="multilevel"/>
    <w:tmpl w:val="07B150F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cs="Times New Roman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08EF6219"/>
    <w:multiLevelType w:val="multilevel"/>
    <w:tmpl w:val="08EF621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C6C42D2"/>
    <w:multiLevelType w:val="multilevel"/>
    <w:tmpl w:val="0C6C42D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0DDC5821"/>
    <w:multiLevelType w:val="multilevel"/>
    <w:tmpl w:val="0DDC582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cs="Times New Roman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4F6351F1"/>
    <w:multiLevelType w:val="multilevel"/>
    <w:tmpl w:val="4F6351F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cs="Times New Roman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653F7BF2"/>
    <w:multiLevelType w:val="multilevel"/>
    <w:tmpl w:val="653F7BF2"/>
    <w:lvl w:ilvl="0" w:tentative="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6B806352"/>
    <w:multiLevelType w:val="multilevel"/>
    <w:tmpl w:val="6B806352"/>
    <w:lvl w:ilvl="0" w:tentative="0">
      <w:start w:val="1"/>
      <w:numFmt w:val="bullet"/>
      <w:lvlText w:val=""/>
      <w:lvlJc w:val="left"/>
      <w:pPr>
        <w:ind w:left="7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7">
    <w:nsid w:val="78AB00B2"/>
    <w:multiLevelType w:val="multilevel"/>
    <w:tmpl w:val="78AB00B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3YTFlOGRjYTkzNjU5YTliY2ZjY2MwNmI2ZmFhNzcifQ=="/>
  </w:docVars>
  <w:rsids>
    <w:rsidRoot w:val="6F3D201D"/>
    <w:rsid w:val="211833D0"/>
    <w:rsid w:val="6F3D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qFormat/>
    <w:uiPriority w:val="34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ind w:firstLine="42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63</Characters>
  <Lines>0</Lines>
  <Paragraphs>0</Paragraphs>
  <TotalTime>0</TotalTime>
  <ScaleCrop>false</ScaleCrop>
  <LinksUpToDate>false</LinksUpToDate>
  <CharactersWithSpaces>64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2022-07-22T09:00:00Z</dcterms:created>
  <dc:creator>静</dc:creator>
  <cp:lastModifiedBy>静</cp:lastModifiedBy>
  <dcterms:modified xsi:type="dcterms:W3CDTF">2022-07-22T09:01:38Z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E8BC7E6CE9D5469882483724E2F4365F</vt:lpwstr>
  </property>
</Properties>
</file>