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160" w:firstLineChars="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widowControl/>
        <w:spacing w:line="450" w:lineRule="atLeast"/>
        <w:jc w:val="center"/>
        <w:rPr>
          <w:rFonts w:hint="eastAsia" w:ascii="仿宋_GB2312" w:hAnsi="仿宋_GB2312" w:eastAsia="仿宋_GB2312" w:cs="仿宋_GB2312"/>
          <w:bCs/>
          <w:sz w:val="32"/>
          <w:szCs w:val="32"/>
        </w:rPr>
      </w:pPr>
      <w:r>
        <w:rPr>
          <w:rFonts w:hint="eastAsia" w:ascii="仿宋_GB2312" w:hAnsi="方正小标宋简体" w:eastAsia="仿宋_GB2312" w:cs="方正小标宋简体"/>
          <w:b/>
          <w:color w:val="000000"/>
          <w:kern w:val="0"/>
          <w:sz w:val="32"/>
          <w:szCs w:val="32"/>
        </w:rPr>
        <w:t>广元市妇幼保健院</w:t>
      </w:r>
    </w:p>
    <w:p>
      <w:pPr>
        <w:jc w:val="center"/>
        <w:rPr>
          <w:rFonts w:hint="eastAsia" w:ascii="宋体" w:hAnsi="宋体"/>
          <w:sz w:val="32"/>
          <w:szCs w:val="32"/>
        </w:rPr>
      </w:pPr>
      <w:r>
        <w:rPr>
          <w:rFonts w:hint="eastAsia" w:ascii="仿宋_GB2312" w:hAnsi="方正小标宋简体" w:eastAsia="仿宋_GB2312" w:cs="方正小标宋简体"/>
          <w:b/>
          <w:color w:val="000000"/>
          <w:kern w:val="0"/>
          <w:sz w:val="32"/>
          <w:szCs w:val="32"/>
        </w:rPr>
        <w:t>DRG管理系统采购项目市场询价清单</w:t>
      </w:r>
    </w:p>
    <w:p>
      <w:pPr>
        <w:spacing w:line="360" w:lineRule="auto"/>
        <w:jc w:val="left"/>
        <w:rPr>
          <w:rFonts w:hint="eastAsia" w:ascii="仿宋_GB2312" w:hAnsi="仿宋_GB2312" w:eastAsia="仿宋_GB2312" w:cs="仿宋_GB2312"/>
          <w:b/>
          <w:bCs/>
          <w:sz w:val="21"/>
          <w:szCs w:val="21"/>
          <w:lang w:val="zh-TW" w:eastAsia="zh-TW"/>
        </w:rPr>
      </w:pPr>
      <w:r>
        <w:rPr>
          <w:rFonts w:hint="eastAsia" w:ascii="仿宋_GB2312" w:hAnsi="仿宋_GB2312" w:eastAsia="仿宋_GB2312" w:cs="仿宋_GB2312"/>
          <w:b/>
          <w:bCs/>
          <w:sz w:val="21"/>
          <w:szCs w:val="21"/>
          <w:lang w:val="zh-TW"/>
        </w:rPr>
        <w:t>一</w:t>
      </w:r>
      <w:r>
        <w:rPr>
          <w:rFonts w:hint="eastAsia" w:ascii="仿宋_GB2312" w:hAnsi="仿宋_GB2312" w:eastAsia="仿宋_GB2312" w:cs="仿宋_GB2312"/>
          <w:b/>
          <w:bCs/>
          <w:sz w:val="21"/>
          <w:szCs w:val="21"/>
          <w:lang w:val="zh-TW" w:eastAsia="zh-TW"/>
        </w:rPr>
        <w:t>、项目清单</w:t>
      </w:r>
    </w:p>
    <w:tbl>
      <w:tblPr>
        <w:tblStyle w:val="2"/>
        <w:tblW w:w="9072" w:type="dxa"/>
        <w:tblInd w:w="222"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53"/>
        <w:gridCol w:w="4602"/>
        <w:gridCol w:w="311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zh-TW" w:eastAsia="zh-TW"/>
              </w:rPr>
              <w:t>序号</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zh-TW" w:eastAsia="zh-TW"/>
              </w:rPr>
              <w:t>产品名称</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val="zh-TW" w:eastAsia="zh-TW"/>
              </w:rPr>
              <w:t>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w:t>
            </w: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DRG管理系统</w:t>
            </w: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1</w:t>
            </w:r>
            <w:r>
              <w:rPr>
                <w:rFonts w:hint="eastAsia" w:ascii="仿宋_GB2312" w:hAnsi="仿宋_GB2312" w:eastAsia="仿宋_GB2312" w:cs="仿宋_GB2312"/>
                <w:kern w:val="0"/>
                <w:sz w:val="21"/>
                <w:szCs w:val="21"/>
                <w:lang w:val="zh-TW"/>
              </w:rPr>
              <w:t>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7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spacing w:line="360" w:lineRule="auto"/>
              <w:jc w:val="center"/>
              <w:rPr>
                <w:rFonts w:hint="eastAsia" w:ascii="仿宋_GB2312" w:hAnsi="仿宋_GB2312" w:eastAsia="仿宋_GB2312" w:cs="仿宋_GB2312"/>
                <w:kern w:val="0"/>
                <w:sz w:val="21"/>
                <w:szCs w:val="21"/>
              </w:rPr>
            </w:pPr>
          </w:p>
        </w:tc>
        <w:tc>
          <w:tcPr>
            <w:tcW w:w="460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360" w:lineRule="auto"/>
              <w:jc w:val="center"/>
              <w:rPr>
                <w:rFonts w:hint="eastAsia" w:ascii="仿宋_GB2312" w:hAnsi="仿宋_GB2312" w:eastAsia="仿宋_GB2312" w:cs="仿宋_GB2312"/>
                <w:sz w:val="21"/>
                <w:szCs w:val="21"/>
              </w:rPr>
            </w:pPr>
          </w:p>
        </w:tc>
        <w:tc>
          <w:tcPr>
            <w:tcW w:w="31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hint="eastAsia" w:ascii="仿宋_GB2312" w:hAnsi="仿宋_GB2312" w:eastAsia="仿宋_GB2312" w:cs="仿宋_GB2312"/>
                <w:sz w:val="21"/>
                <w:szCs w:val="21"/>
              </w:rPr>
            </w:pPr>
          </w:p>
        </w:tc>
      </w:tr>
    </w:tbl>
    <w:p>
      <w:pPr>
        <w:numPr>
          <w:ilvl w:val="0"/>
          <w:numId w:val="1"/>
        </w:numPr>
        <w:spacing w:line="360" w:lineRule="auto"/>
        <w:rPr>
          <w:rFonts w:hint="eastAsia" w:ascii="仿宋_GB2312" w:hAnsi="仿宋_GB2312" w:eastAsia="仿宋_GB2312" w:cs="仿宋_GB2312"/>
          <w:b/>
          <w:bCs/>
          <w:sz w:val="21"/>
          <w:szCs w:val="21"/>
          <w:lang w:val="zh-TW" w:eastAsia="zh-TW"/>
        </w:rPr>
      </w:pPr>
      <w:r>
        <w:rPr>
          <w:rFonts w:hint="eastAsia" w:ascii="仿宋_GB2312" w:hAnsi="仿宋_GB2312" w:eastAsia="仿宋_GB2312" w:cs="仿宋_GB2312"/>
          <w:b/>
          <w:bCs/>
          <w:sz w:val="21"/>
          <w:szCs w:val="21"/>
          <w:lang w:val="zh-TW" w:eastAsia="zh-TW"/>
        </w:rPr>
        <w:t>项目要求</w:t>
      </w:r>
    </w:p>
    <w:tbl>
      <w:tblPr>
        <w:tblStyle w:val="2"/>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642"/>
        <w:gridCol w:w="1029"/>
        <w:gridCol w:w="1056"/>
        <w:gridCol w:w="5340"/>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一级功能</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二级功能</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三级功能</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说明</w:t>
            </w:r>
          </w:p>
        </w:tc>
        <w:tc>
          <w:tcPr>
            <w:tcW w:w="709"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功能权限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首页</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首页</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首页</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展示用户重点关注的指标数据提供图形化（柱状图，饼状图，图表）直观展示，包含事前年度违规趋势图、事后年度违规趋势图、事前违规规则分布、事后违规规则分布、医疗费用各月情况等指标。支持用户以拖拽形式按需配置展示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DRG首页</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DRG首页</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DRG院长首页</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支持院长查看全院DRG运行情况，展示各项重点关注指标数据：宏观监测指标、重点监测指标变化、重点科室监测、DRG下科室盈亏情况、异常病例监测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DRG科室首页</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支持科主任查看科室DRG运行情况，展示各项重点指标数据：宏观监测指标、季度预计盈亏、月度预计盈亏、病组/费用结构分析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病例数据质控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病例数据质控概览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病例质控概览</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提供病案首页/结算清单质控指标数据的展示，各错误字段分布情况以及问题趋势数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病案首页校验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病案首页查询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提供院区里病案首页信息及详情的查询。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校验规则配置</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提供病案首页校验规则的配置。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病案首页校验</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提供手动校验执行的功能，可选择校验范围，形成校验结果统计。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校验结果查询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提供病案首页质控过的数据统计，包含数据量、完整率、正确率、每一个结算ID的问题数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病案质量统计</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提供病案首页事前质控的统计结果，包含质控数量、问题数、提醒次数趋势。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结算清单校验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提供结算清单信息及详情查询。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质量校验规则配置</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提供结算清单校验规则的配置。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结算清单质量分析</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提供手动校验执行的功能，可选择校验范围，形成校验结果统计。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校验结果查询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提供结算清单质控过的数据统计，包含数据量、完整率、正确率、每一个结算ID的问题数。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结算清单质量统计</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提供结算清单事前质控的统计结果，包含质控数量、问题数、提醒次数趋势。</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结算清单提交</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提供结算清单的抽取，结算清单编辑 结算清单提交的功能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结算清单审核上传</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提供对提交过来的结算进行审核 上传审核通过的结算清单给医保，医保返回相关金额费用信息，形成完整的结算清单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病例分组</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病例分组概览</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病例分组概览</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提供病案首页/结算清单入组指标数据的展示，总体入组趋势，入组与未入组数，以及未入组原因分布情况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在院分组</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DRG在院分组</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提供在院病人的诊断、手术信息的展示，对在院病例进行DRG分组。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DRG分组管理（病案首页、结算清单）</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分组方案配置</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提供DRG分组方案配置，对增量的病案首页/结算清单进行DRG分组。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诊断分组查询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提供查询国家医保版疾病诊断编码划分在ADRG情况。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手术分组查询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提供查询国家医保版手术操作编码划分在ADRG情况。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CHS入组预测</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提供给医疗机构、医保局了解填写诊断、手术的DRG入组情况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CHS-DRG分组</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提供给实施人员、医保局手工触发CHS-DRG分组。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入组情况查询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提供每天增量病案/结算清单数据的查询，展示入组结果情况。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病例费用分析</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DRG费用分析</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DRG综合分析</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提供不同颗粒度下的费用指标及费用相关指标进行精细化监测及不同角度的分析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DRG盈亏分析</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提供付费病种盈亏预测分析，支持查询月度盈亏金额结果、院区和病种的排名/占比情况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DRG科室统计</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提供科室的DRG数据指标统计，不同的科室之间进行指标对比分析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DRG医生统计</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提供医生的DRG数据指标统计，不同的医生之间可进行指标对比分析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DRG医疗组统计</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提供对科室下医疗组的DRG数据指标的统计，不同的医疗组之间可进行指标对比分析功能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DRG指标管理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数据质量分析</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提供病案首页/结算清单数据质量分析，纠察分析病案数据/清单，核查医疗数据准确性，实现对病案数据/清单数据编码准确率等内容进行分析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医疗服务能力</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提供DRG组数、病组分值、三四级手术级别等指标分析，对比不同科室之间的业务里、疾病覆盖范围、诊疗技术难度</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医疗服务质量</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提供住院患者超长住院风险、低标入院风险、医疗安全等指标，对不同科室医疗服务质量进行科学的评价</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医疗费用控制</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提供全院、科室的角度进行费用结构分析，重点监测在DRG支付方式改革下的费用类型占比分析，找出不合理费用，定位问题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DRG科室绩效排名</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提供在指标管理基础上对指标的统计结果进行绩效打分，以医院的视角给科室医疗组医生进行绩效打分和排名。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考核评估细则</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提供当年度绩效考核评估系统的考核指标、指标内涵及具体评分办法。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基础数据管理</w:t>
            </w:r>
          </w:p>
        </w:tc>
        <w:tc>
          <w:tcPr>
            <w:tcW w:w="102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支付数据管理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疾病目录维护</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提供维护疾病目录，以及展示、编辑目录下的疾病信息或者新增疾病信息。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手术目录维护</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提供维护手术目录，以及展示、编辑目录下的手术信息或者新增手术信息。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权重点数维护(DRG)</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可查看编辑权重点数版本，维护版本下的DRG组信息、标准费用、标准住院天数。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公用数据管理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数据字典</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提供系统涉及的数据字典信息查询。</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任务管理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系统可以定制高频次执行任务及任务配置，灵活使用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计划任务结果管理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可对已执行的计划任务结果进行查询、明细查看与删除操作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药品说明书查询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提供按名称查询药品，支持浏览药品名称、成分、适应症、用法用量等说明书详情。</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医保政策管理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提供医保政策文档的上传维护，包含文件名称、发布字号发布日期、发布、具有查看等信息。支持pdf政策文件上传。</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医保政策查询</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提供医保政策文件查询，支持文件内容浏览，下载。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其他数据管理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医生信息维护</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提供医生所在的科室或者医疗组层级关系维护功能。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指标库维护</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使用总额控制分析时需要维护指标信息，支持后台维护预警值，对指标进行开启/关闭设置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医院组织架构管理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提供医院组织架构信息维护功能，包括院区、上级科室、科室、医疗组的层级关系。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医疗组维护</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提供所添加医疗组信息维护功能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报告分析管理</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报告管理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提供医保科等管理科室生成病案质控/绩效测评报告文档：包含问题病案总体情况，病案首页错误类型，病案问题严重分级、科室编码问题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报告下载</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提供用户既往生成报告下载模块，并且可查看相应报告的操作日志。</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64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系统管理</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科室管理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提供科室维护界面，利用树形结构灵活处理医院的组织架构。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6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组织机构管理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提供管理单体医院的组织机构信息功能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6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用户管理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提供系统使用用户维护，支持用户角色分配。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6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角色管理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提供用户角色维护，支持将系统使用模块分配给用户角色。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6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模块管理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提供系统功能模块维护，包含模块名称，模块编码，模块路径等信息。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64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系统日志</w:t>
            </w:r>
          </w:p>
        </w:tc>
        <w:tc>
          <w:tcPr>
            <w:tcW w:w="53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提供用户操作行为浏览</w:t>
            </w:r>
          </w:p>
        </w:tc>
        <w:tc>
          <w:tcPr>
            <w:tcW w:w="709" w:type="dxa"/>
            <w:tcBorders>
              <w:top w:val="single" w:color="000000" w:sz="4" w:space="0"/>
              <w:left w:val="single" w:color="000000" w:sz="4" w:space="0"/>
              <w:bottom w:val="nil"/>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系统接口</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基础业务数据采集</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提供以中间表形式进行基础业务数据采集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结算清单数据采集接口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通过接口的方式，由第三方调用接口，采集相应的结算清单数据。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病案首页数据采集接口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通过接口的方式，由第三方调用接口，采集相应的病案首页数据。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结算清单数据质量校验接口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通过接口方式调用结算清单数据质量校验接口，返回相应的校验结果,结算清单得分，质控问题描述，重点问题描述。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病案首页数据质量校验接口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通过接口方式调用病案首页数据质量校验接口，返回相应的校验结果、病案首页得分，质控问题描述，重点问题描述。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病案首页CHS-DRG分组接口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通过接口方式调用病案首页CHS-DRG分组接口，返回相应的校验结果分组结果或未入组原因，权重、分组标准费用，医疗总费用，标准费用差额，计算是否出现高倍率或低倍率情况。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结算清单CHS-DRG分组接口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通过接口方式调用结算清单CHS-DRG分组接口，返回相应的校验结果分组结果或未入组原因，权重、分组标准费用，医疗总费用，标准费用差额，计算是否出现高倍率或低倍率情况。</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DRG在院预分组接口</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提供以接口的方式对病例的年龄、新生儿体重、诊断、手术信息返回DRG分组、权重、分组标准费用信息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_GB2312" w:hAnsi="仿宋_GB2312" w:eastAsia="仿宋_GB2312" w:cs="仿宋_GB2312"/>
                <w:i w:val="0"/>
                <w:iCs w:val="0"/>
                <w:color w:val="000000"/>
                <w:sz w:val="21"/>
                <w:szCs w:val="21"/>
                <w:u w:val="none"/>
              </w:rPr>
            </w:pPr>
          </w:p>
        </w:tc>
      </w:tr>
    </w:tbl>
    <w:p>
      <w:pPr>
        <w:widowControl/>
        <w:spacing w:line="450" w:lineRule="atLeas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0A817"/>
    <w:multiLevelType w:val="singleLevel"/>
    <w:tmpl w:val="6970A8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E6689"/>
    <w:rsid w:val="66FE0D39"/>
    <w:rsid w:val="6C6E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2023-03-21T03:37:00Z</dcterms:created>
  <dc:creator>ioi</dc:creator>
  <cp:lastModifiedBy>ioi</cp:lastModifiedBy>
  <dcterms:modified xsi:type="dcterms:W3CDTF">2023-03-21T03:38:21Z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7051C4B8DDC942EBA375F9FAA575DAE9</vt:lpwstr>
  </property>
</Properties>
</file>