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2</w:t>
      </w:r>
    </w:p>
    <w:p>
      <w:pPr>
        <w:ind w:firstLine="1200" w:firstLineChars="4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为儿科临床工作研究方向，取得执业医师资格证书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,具有规培合格证。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为妇产科临床工作研究方向，取得执业医师资格证书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和执业医师资格证书。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高级职称有管理经验优先。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。有二甲以上综合医院工作经历中级职称以上优先。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/>
                <w:szCs w:val="21"/>
              </w:rPr>
              <w:t>，取得执业医师资格证书优先。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  <w:t>耳鼻喉科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临床医学/耳鼻喉科学/头颈外科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/>
                <w:szCs w:val="21"/>
              </w:rPr>
              <w:t>，取得执业医师资格证书优先。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口腔科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口腔学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bidi="ar"/>
              </w:rPr>
              <w:t>病理科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临床医学/病理学/临床检验诊断学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病理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/>
                <w:szCs w:val="21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产前诊断实验室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临床医学/医学遗传学/临床医学检验诊断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具有两年以上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遗传咨询、</w:t>
            </w:r>
            <w:r>
              <w:rPr>
                <w:rFonts w:hint="eastAsia" w:ascii="仿宋_GB2312" w:hAnsi="宋体" w:eastAsia="仿宋_GB2312"/>
                <w:szCs w:val="21"/>
              </w:rPr>
              <w:t>细胞遗传实验室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、分子实验室</w:t>
            </w: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取得相应母婴保健技术考核合格证优先。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放射医学/医学影像学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和规培</w:t>
            </w:r>
            <w:r>
              <w:rPr>
                <w:rFonts w:hint="eastAsia" w:ascii="仿宋_GB2312" w:hAnsi="宋体" w:eastAsia="仿宋_GB2312"/>
                <w:szCs w:val="21"/>
              </w:rPr>
              <w:t>证书，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二甲及以上医疗保健机构从事CT临床工作3年以上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具有大型设备上岗证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优先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相关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士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病案室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临床医学及相关专业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具有病案编码资格证优先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公卫科室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预防医学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取得相关资格证书优先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党委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办公室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卫生管理/文秘等相关专业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取得相关资格证书优先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人力资源科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人力资源管理及相关专业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中药房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中医药专业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中药调剂</w:t>
            </w: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2023-05-10T03:45:33Z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45C7134A133A42B392B74EDCD71A7A23</vt:lpwstr>
  </property>
</Properties>
</file>